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BE" w:rsidRDefault="00CE46BE" w:rsidP="00CE46BE">
      <w:pPr>
        <w:pStyle w:val="a3"/>
        <w:spacing w:before="0" w:beforeAutospacing="0" w:after="0" w:afterAutospacing="0"/>
        <w:jc w:val="center"/>
      </w:pPr>
      <w:r>
        <w:t> </w:t>
      </w:r>
    </w:p>
    <w:p w:rsidR="00CE46BE" w:rsidRDefault="00CE46BE" w:rsidP="00CE46BE">
      <w:pPr>
        <w:pStyle w:val="a3"/>
        <w:spacing w:before="0" w:beforeAutospacing="0" w:after="0" w:afterAutospacing="0"/>
        <w:jc w:val="center"/>
      </w:pPr>
      <w:r>
        <w:rPr>
          <w:b/>
          <w:bCs/>
          <w:color w:val="000000"/>
          <w:sz w:val="28"/>
          <w:szCs w:val="28"/>
        </w:rPr>
        <w:t>Пам’ятка</w:t>
      </w:r>
    </w:p>
    <w:p w:rsidR="00CE46BE" w:rsidRDefault="00CE46BE" w:rsidP="00CE46BE">
      <w:pPr>
        <w:pStyle w:val="a3"/>
        <w:spacing w:before="0" w:beforeAutospacing="0" w:after="0" w:afterAutospacing="0"/>
        <w:jc w:val="center"/>
      </w:pPr>
      <w:r>
        <w:rPr>
          <w:b/>
          <w:bCs/>
          <w:color w:val="000000"/>
          <w:sz w:val="28"/>
          <w:szCs w:val="28"/>
        </w:rPr>
        <w:t>щодо заходів фінансового контролю</w:t>
      </w:r>
    </w:p>
    <w:p w:rsidR="00CE46BE" w:rsidRDefault="00CE46BE" w:rsidP="00CE46BE">
      <w:pPr>
        <w:pStyle w:val="a3"/>
        <w:spacing w:before="0" w:beforeAutospacing="0" w:after="0" w:afterAutospacing="0"/>
        <w:ind w:firstLine="567"/>
        <w:jc w:val="both"/>
      </w:pPr>
      <w:r>
        <w:t> </w:t>
      </w:r>
    </w:p>
    <w:p w:rsidR="00CE46BE" w:rsidRDefault="00CE46BE" w:rsidP="00CE46BE">
      <w:pPr>
        <w:pStyle w:val="a3"/>
        <w:shd w:val="clear" w:color="auto" w:fill="FFFFFF"/>
        <w:spacing w:before="0" w:beforeAutospacing="0" w:after="0" w:afterAutospacing="0"/>
        <w:ind w:firstLine="567"/>
        <w:jc w:val="both"/>
      </w:pPr>
      <w:r>
        <w:rPr>
          <w:b/>
          <w:bCs/>
          <w:color w:val="000000"/>
        </w:rPr>
        <w:t>Відповідно до стаття 45 Закону України «Про запобігання корупції»</w:t>
      </w:r>
      <w:r>
        <w:rPr>
          <w:color w:val="000000"/>
        </w:rPr>
        <w:t xml:space="preserve"> (далі – Закон) особи, зазначені у </w:t>
      </w:r>
      <w:hyperlink r:id="rId5" w:anchor="n26" w:history="1">
        <w:r>
          <w:rPr>
            <w:rStyle w:val="a4"/>
            <w:color w:val="000000"/>
          </w:rPr>
          <w:t>пункті 1</w:t>
        </w:r>
      </w:hyperlink>
      <w:r>
        <w:rPr>
          <w:color w:val="000000"/>
        </w:rPr>
        <w:t>, </w:t>
      </w:r>
      <w:hyperlink r:id="rId6" w:anchor="n38" w:history="1">
        <w:r>
          <w:rPr>
            <w:rStyle w:val="a4"/>
            <w:color w:val="000000"/>
          </w:rPr>
          <w:t>підпунктах «а</w:t>
        </w:r>
      </w:hyperlink>
      <w:r>
        <w:rPr>
          <w:color w:val="000000"/>
        </w:rPr>
        <w:t>» і </w:t>
      </w:r>
      <w:hyperlink r:id="rId7" w:anchor="n1061" w:history="1">
        <w:r>
          <w:rPr>
            <w:rStyle w:val="a4"/>
            <w:color w:val="000000"/>
          </w:rPr>
          <w:t>«в</w:t>
        </w:r>
      </w:hyperlink>
      <w:r>
        <w:rPr>
          <w:color w:val="000000"/>
        </w:rPr>
        <w:t>» пункту 2 частини першої статті 3 Закону, зобов’язані щорічно до 1 квітня подавати шляхом заповнення на офіційному веб-сайті Національного агентства </w:t>
      </w:r>
      <w:hyperlink r:id="rId8" w:anchor="n16" w:history="1">
        <w:r>
          <w:rPr>
            <w:rStyle w:val="a4"/>
            <w:color w:val="000000"/>
          </w:rPr>
          <w:t>декларацію</w:t>
        </w:r>
      </w:hyperlink>
      <w:hyperlink r:id="rId9" w:anchor="n16" w:history="1">
        <w:r>
          <w:rPr>
            <w:rStyle w:val="a4"/>
            <w:color w:val="000000"/>
          </w:rPr>
          <w:t> особи, уповноваженої на виконання функцій держави або місцевого самоврядування</w:t>
        </w:r>
      </w:hyperlink>
      <w:r>
        <w:rPr>
          <w:color w:val="000000"/>
        </w:rPr>
        <w:t> (далі - декларація), за минулий рік за формою, що визначається Національним агентством.</w:t>
      </w:r>
    </w:p>
    <w:p w:rsidR="00CE46BE" w:rsidRDefault="00CE46BE" w:rsidP="00CE46BE">
      <w:pPr>
        <w:pStyle w:val="a3"/>
        <w:shd w:val="clear" w:color="auto" w:fill="FFFFFF"/>
        <w:spacing w:before="0" w:beforeAutospacing="0" w:after="0" w:afterAutospacing="0"/>
        <w:ind w:firstLine="567"/>
        <w:jc w:val="both"/>
      </w:pPr>
      <w:r>
        <w:rPr>
          <w:color w:val="000000"/>
        </w:rPr>
        <w:t>Особи, зазначені у пункті 1, </w:t>
      </w:r>
      <w:hyperlink r:id="rId10" w:anchor="n38" w:history="1">
        <w:r>
          <w:rPr>
            <w:rStyle w:val="a4"/>
            <w:color w:val="000000"/>
          </w:rPr>
          <w:t>підпунктах «а</w:t>
        </w:r>
      </w:hyperlink>
      <w:r>
        <w:rPr>
          <w:color w:val="000000"/>
        </w:rPr>
        <w:t>» і </w:t>
      </w:r>
      <w:hyperlink r:id="rId11" w:anchor="n1061" w:history="1">
        <w:r>
          <w:rPr>
            <w:rStyle w:val="a4"/>
            <w:color w:val="000000"/>
          </w:rPr>
          <w:t>«в</w:t>
        </w:r>
      </w:hyperlink>
      <w:r>
        <w:rPr>
          <w:color w:val="000000"/>
        </w:rPr>
        <w:t>» пункту 2 частини першої статті 3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CE46BE" w:rsidRPr="00CA1F27" w:rsidRDefault="00CE46BE" w:rsidP="00CA1F27">
      <w:pPr>
        <w:pStyle w:val="a3"/>
        <w:shd w:val="clear" w:color="auto" w:fill="FFFFFF"/>
        <w:spacing w:before="0" w:beforeAutospacing="0" w:after="0" w:afterAutospacing="0"/>
        <w:ind w:firstLine="567"/>
        <w:jc w:val="both"/>
      </w:pPr>
      <w:r>
        <w:rPr>
          <w:color w:val="000000"/>
        </w:rPr>
        <w:t>Особи, які припинили діяльність, пов’язану з виконанням функцій держави або місцевого самоврядування, або іншу діяльність, зазначену у </w:t>
      </w:r>
      <w:hyperlink r:id="rId12" w:anchor="n38" w:history="1">
        <w:r>
          <w:rPr>
            <w:rStyle w:val="a4"/>
            <w:color w:val="000000"/>
          </w:rPr>
          <w:t>підпунктах «а</w:t>
        </w:r>
      </w:hyperlink>
      <w:r>
        <w:rPr>
          <w:color w:val="000000"/>
        </w:rPr>
        <w:t xml:space="preserve">» і </w:t>
      </w:r>
      <w:hyperlink r:id="rId13" w:anchor="n1061" w:history="1">
        <w:r>
          <w:rPr>
            <w:rStyle w:val="a4"/>
            <w:color w:val="000000"/>
          </w:rPr>
          <w:t>«в</w:t>
        </w:r>
      </w:hyperlink>
      <w:r>
        <w:rPr>
          <w:color w:val="000000"/>
        </w:rPr>
        <w:t>» пункту 2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CE46BE" w:rsidRDefault="00CE46BE" w:rsidP="00CE46BE">
      <w:pPr>
        <w:pStyle w:val="a3"/>
        <w:shd w:val="clear" w:color="auto" w:fill="FFFFFF"/>
        <w:spacing w:before="0" w:beforeAutospacing="0" w:after="0" w:afterAutospacing="0"/>
        <w:ind w:firstLine="567"/>
        <w:jc w:val="both"/>
      </w:pPr>
      <w:r>
        <w:rPr>
          <w:b/>
          <w:bCs/>
          <w:color w:val="000000"/>
        </w:rPr>
        <w:t xml:space="preserve">Відповідно до статті 52 Закону </w:t>
      </w:r>
      <w:r>
        <w:rPr>
          <w:color w:val="000000"/>
        </w:rPr>
        <w:t>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CE46BE" w:rsidRDefault="00CE46BE" w:rsidP="00CE46BE">
      <w:pPr>
        <w:pStyle w:val="a3"/>
        <w:shd w:val="clear" w:color="auto" w:fill="FFFFFF"/>
        <w:spacing w:before="0" w:beforeAutospacing="0" w:after="0" w:afterAutospacing="0"/>
        <w:ind w:firstLine="567"/>
        <w:jc w:val="both"/>
      </w:pPr>
      <w:r>
        <w:rPr>
          <w:color w:val="000000"/>
        </w:rPr>
        <w:t>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CE46BE" w:rsidRPr="00CA1F27" w:rsidRDefault="00CE46BE" w:rsidP="00CA1F27">
      <w:pPr>
        <w:pStyle w:val="a3"/>
        <w:shd w:val="clear" w:color="auto" w:fill="FFFFFF"/>
        <w:spacing w:before="0" w:beforeAutospacing="0" w:after="0" w:afterAutospacing="0"/>
        <w:ind w:firstLine="567"/>
        <w:jc w:val="both"/>
      </w:pPr>
      <w:r>
        <w:rPr>
          <w:color w:val="000000"/>
        </w:rPr>
        <w:t>Положення частини четвертої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hyperlink r:id="rId14" w:anchor="n1731" w:history="1">
        <w:r>
          <w:rPr>
            <w:rStyle w:val="a4"/>
            <w:color w:val="000000"/>
          </w:rPr>
          <w:t>статті 51</w:t>
        </w:r>
      </w:hyperlink>
      <w:r>
        <w:rPr>
          <w:color w:val="000000"/>
        </w:rPr>
        <w:t>-3 Закону.</w:t>
      </w:r>
    </w:p>
    <w:p w:rsidR="00CE46BE" w:rsidRDefault="00CE46BE" w:rsidP="00CE46BE">
      <w:pPr>
        <w:pStyle w:val="a3"/>
        <w:spacing w:before="0" w:beforeAutospacing="0" w:after="0" w:afterAutospacing="0"/>
        <w:ind w:firstLine="567"/>
        <w:jc w:val="both"/>
      </w:pPr>
      <w:r>
        <w:rPr>
          <w:b/>
          <w:bCs/>
          <w:color w:val="000000"/>
        </w:rPr>
        <w:t>Відповідно до рішення Національного агентства з питань запобігання корупції від 17.06.2016 № 2 до посад з високим та підвищеним рівнем корупційних ризиків віднесено:</w:t>
      </w:r>
    </w:p>
    <w:p w:rsidR="00CE46BE" w:rsidRDefault="00CE46BE" w:rsidP="00CE46BE">
      <w:pPr>
        <w:pStyle w:val="a3"/>
        <w:spacing w:before="0" w:beforeAutospacing="0" w:after="0" w:afterAutospacing="0"/>
        <w:ind w:firstLine="567"/>
        <w:jc w:val="both"/>
      </w:pPr>
      <w:r>
        <w:rPr>
          <w:color w:val="000000"/>
        </w:rPr>
        <w:t>1. Посада Керівника Офісу Президента України, його першого заступника та заступника.</w:t>
      </w:r>
    </w:p>
    <w:p w:rsidR="00CE46BE" w:rsidRDefault="00CE46BE" w:rsidP="00CE46BE">
      <w:pPr>
        <w:pStyle w:val="a3"/>
        <w:spacing w:before="0" w:beforeAutospacing="0" w:after="0" w:afterAutospacing="0"/>
        <w:ind w:firstLine="567"/>
        <w:jc w:val="both"/>
      </w:pPr>
      <w:r>
        <w:rPr>
          <w:color w:val="000000"/>
        </w:rPr>
        <w:t>2. Посади керівників та заступників керівників структурних підрозділів у складі самостійних структурних підрозділів центрального апарату Національного банку України.</w:t>
      </w:r>
    </w:p>
    <w:p w:rsidR="00CE46BE" w:rsidRDefault="00CE46BE" w:rsidP="00CE46BE">
      <w:pPr>
        <w:pStyle w:val="a3"/>
        <w:spacing w:before="0" w:beforeAutospacing="0" w:after="0" w:afterAutospacing="0"/>
        <w:ind w:firstLine="567"/>
        <w:jc w:val="both"/>
      </w:pPr>
      <w:r>
        <w:rPr>
          <w:color w:val="000000"/>
        </w:rPr>
        <w:t>3. Посади керівників та заступників керівників самостійних структурних підрозділів територіальних управлінь Державної судової адміністрації України.</w:t>
      </w:r>
    </w:p>
    <w:p w:rsidR="00CE46BE" w:rsidRPr="00CA1F27" w:rsidRDefault="00CE46BE" w:rsidP="00CA1F27">
      <w:pPr>
        <w:pStyle w:val="a3"/>
        <w:spacing w:before="0" w:beforeAutospacing="0" w:after="0" w:afterAutospacing="0"/>
        <w:ind w:firstLine="567"/>
        <w:jc w:val="both"/>
        <w:rPr>
          <w:lang w:val="ru-RU"/>
        </w:rPr>
      </w:pPr>
      <w:r>
        <w:rPr>
          <w:color w:val="000000"/>
        </w:rPr>
        <w:t>4. Посади керівників державних підприємств, установ, організацій, інших суб’єктів господарювання державної форми власності та їх заступників, призначення яких здійснюється державними органами.</w:t>
      </w:r>
    </w:p>
    <w:p w:rsidR="00CE46BE" w:rsidRDefault="00CE46BE" w:rsidP="00CE46BE">
      <w:pPr>
        <w:pStyle w:val="a3"/>
        <w:spacing w:before="0" w:beforeAutospacing="0" w:after="0" w:afterAutospacing="0"/>
        <w:ind w:firstLine="567"/>
        <w:jc w:val="both"/>
      </w:pPr>
      <w:r>
        <w:rPr>
          <w:color w:val="000000"/>
        </w:rPr>
        <w:t>5. Посади державної служби, визначені структурою державних органів, юрисдикція яких поширюється на всю територію України, у разі недоцільності утворення структурних підрозділів.</w:t>
      </w:r>
    </w:p>
    <w:p w:rsidR="00CE46BE" w:rsidRDefault="00CE46BE" w:rsidP="00CE46BE">
      <w:pPr>
        <w:pStyle w:val="a3"/>
        <w:spacing w:before="0" w:beforeAutospacing="0" w:after="0" w:afterAutospacing="0"/>
        <w:ind w:firstLine="567"/>
        <w:jc w:val="both"/>
      </w:pPr>
      <w:r>
        <w:rPr>
          <w:color w:val="000000"/>
        </w:rPr>
        <w:t>6. Посади в органах місцевого самоврядування:</w:t>
      </w:r>
    </w:p>
    <w:p w:rsidR="00CE46BE" w:rsidRDefault="00CE46BE" w:rsidP="00CA1F27">
      <w:pPr>
        <w:pStyle w:val="a3"/>
        <w:numPr>
          <w:ilvl w:val="0"/>
          <w:numId w:val="2"/>
        </w:numPr>
        <w:spacing w:before="0" w:beforeAutospacing="0" w:after="0" w:afterAutospacing="0"/>
        <w:jc w:val="both"/>
      </w:pPr>
      <w:r>
        <w:rPr>
          <w:color w:val="000000"/>
        </w:rPr>
        <w:lastRenderedPageBreak/>
        <w:t>перших заступників, заступників міських (міст обласного, республіканського в Автономній Республіці Крим, районного значення) голів, заступників сільських, селищних голів;</w:t>
      </w:r>
    </w:p>
    <w:p w:rsidR="00CE46BE" w:rsidRDefault="00CE46BE" w:rsidP="00CA1F27">
      <w:pPr>
        <w:pStyle w:val="a3"/>
        <w:numPr>
          <w:ilvl w:val="0"/>
          <w:numId w:val="2"/>
        </w:numPr>
        <w:spacing w:before="0" w:beforeAutospacing="0" w:after="0" w:afterAutospacing="0"/>
        <w:jc w:val="both"/>
      </w:pPr>
      <w:r>
        <w:rPr>
          <w:color w:val="000000"/>
        </w:rPr>
        <w:t>заступників голів районних, районних в містах рад;</w:t>
      </w:r>
    </w:p>
    <w:p w:rsidR="00CE46BE" w:rsidRDefault="00CE46BE" w:rsidP="00CA1F27">
      <w:pPr>
        <w:pStyle w:val="a3"/>
        <w:numPr>
          <w:ilvl w:val="0"/>
          <w:numId w:val="2"/>
        </w:numPr>
        <w:spacing w:before="0" w:beforeAutospacing="0" w:after="0" w:afterAutospacing="0"/>
        <w:jc w:val="both"/>
      </w:pPr>
      <w:r>
        <w:rPr>
          <w:color w:val="000000"/>
        </w:rPr>
        <w:t>секретарів міських (міст обласного, республіканського в Автономній Республіці Крим, районного значення), сільських, селищних рад;</w:t>
      </w:r>
    </w:p>
    <w:p w:rsidR="00CE46BE" w:rsidRDefault="00CE46BE" w:rsidP="00CA1F27">
      <w:pPr>
        <w:pStyle w:val="a3"/>
        <w:numPr>
          <w:ilvl w:val="0"/>
          <w:numId w:val="2"/>
        </w:numPr>
        <w:spacing w:before="0" w:beforeAutospacing="0" w:after="0" w:afterAutospacing="0"/>
        <w:jc w:val="both"/>
      </w:pPr>
      <w:r>
        <w:rPr>
          <w:color w:val="000000"/>
        </w:rPr>
        <w:t>керуючих справами виконавчих комітетів міських (міст - обласних центрів та міста Сімферополя, міст обласного, республіканського в Автономній Республіці Крим значення) рад;</w:t>
      </w:r>
    </w:p>
    <w:p w:rsidR="00CE46BE" w:rsidRDefault="00CE46BE" w:rsidP="00CA1F27">
      <w:pPr>
        <w:pStyle w:val="a3"/>
        <w:numPr>
          <w:ilvl w:val="0"/>
          <w:numId w:val="2"/>
        </w:numPr>
        <w:spacing w:before="0" w:beforeAutospacing="0" w:after="0" w:afterAutospacing="0"/>
        <w:jc w:val="both"/>
      </w:pPr>
      <w:r>
        <w:rPr>
          <w:color w:val="000000"/>
        </w:rPr>
        <w:t>голів постійних комісій з питань бюджету обласних, Київської та Севастопольської міських рад (у разі коли вони працюють у раді на постійній основі).</w:t>
      </w:r>
    </w:p>
    <w:p w:rsidR="00CE46BE" w:rsidRDefault="00CE46BE" w:rsidP="00CE46BE">
      <w:pPr>
        <w:pStyle w:val="a3"/>
        <w:spacing w:before="0" w:beforeAutospacing="0" w:after="0" w:afterAutospacing="0"/>
        <w:ind w:firstLine="567"/>
        <w:jc w:val="both"/>
      </w:pPr>
      <w:r>
        <w:t> </w:t>
      </w:r>
    </w:p>
    <w:p w:rsidR="00CE46BE" w:rsidRDefault="00CE46BE" w:rsidP="00CE46BE">
      <w:pPr>
        <w:pStyle w:val="a3"/>
        <w:spacing w:before="0" w:beforeAutospacing="0" w:after="0" w:afterAutospacing="0"/>
        <w:ind w:firstLine="567"/>
        <w:jc w:val="both"/>
      </w:pPr>
      <w:r>
        <w:rPr>
          <w:b/>
          <w:bCs/>
          <w:color w:val="000000"/>
        </w:rPr>
        <w:t>Кодекс України про адміністративні правопорушення</w:t>
      </w:r>
    </w:p>
    <w:p w:rsidR="00CE46BE" w:rsidRDefault="00CE46BE" w:rsidP="00CE46BE">
      <w:pPr>
        <w:pStyle w:val="a3"/>
        <w:spacing w:before="0" w:beforeAutospacing="0" w:after="0" w:afterAutospacing="0"/>
        <w:ind w:firstLine="567"/>
        <w:jc w:val="both"/>
      </w:pPr>
      <w:r>
        <w:t> </w:t>
      </w:r>
    </w:p>
    <w:p w:rsidR="00CE46BE" w:rsidRDefault="00CE46BE" w:rsidP="00CE46BE">
      <w:pPr>
        <w:pStyle w:val="a3"/>
        <w:spacing w:before="0" w:beforeAutospacing="0" w:after="0" w:afterAutospacing="0"/>
        <w:ind w:firstLine="567"/>
        <w:jc w:val="both"/>
      </w:pPr>
      <w:r>
        <w:rPr>
          <w:b/>
          <w:bCs/>
          <w:color w:val="000000"/>
        </w:rPr>
        <w:t>Стаття 172-6. Порушення вимог фінансового контролю</w:t>
      </w:r>
    </w:p>
    <w:p w:rsidR="00CE46BE" w:rsidRDefault="00CE46BE" w:rsidP="00CE46BE">
      <w:pPr>
        <w:pStyle w:val="a3"/>
        <w:spacing w:before="0" w:beforeAutospacing="0" w:after="0" w:afterAutospacing="0"/>
        <w:ind w:firstLine="567"/>
        <w:jc w:val="both"/>
      </w:pPr>
      <w:r>
        <w:t> </w:t>
      </w:r>
    </w:p>
    <w:p w:rsidR="00CE46BE" w:rsidRDefault="00CE46BE" w:rsidP="00CE46BE">
      <w:pPr>
        <w:pStyle w:val="a3"/>
        <w:spacing w:before="0" w:beforeAutospacing="0" w:after="0" w:afterAutospacing="0"/>
        <w:ind w:firstLine="567"/>
        <w:jc w:val="both"/>
      </w:pPr>
      <w:r>
        <w:rPr>
          <w:color w:val="000000"/>
        </w:rPr>
        <w:t>Несвоєчасне подання без поважних причин декларації особи, уповноваженої на виконання функцій держави або місцевого самоврядування, - тягне за собою накладення штрафу від п’ятдесяти до ста неоподатковуваних мінімумів доходів громадян.</w:t>
      </w:r>
    </w:p>
    <w:p w:rsidR="00CE46BE" w:rsidRDefault="00CE46BE" w:rsidP="00CE46BE">
      <w:pPr>
        <w:pStyle w:val="a3"/>
        <w:spacing w:before="0" w:beforeAutospacing="0" w:after="0" w:afterAutospacing="0"/>
        <w:ind w:firstLine="567"/>
        <w:jc w:val="both"/>
      </w:pPr>
      <w:r>
        <w:t> </w:t>
      </w:r>
    </w:p>
    <w:p w:rsidR="00CE46BE" w:rsidRDefault="00CE46BE" w:rsidP="00CE46BE">
      <w:pPr>
        <w:pStyle w:val="a3"/>
        <w:spacing w:before="0" w:beforeAutospacing="0" w:after="0" w:afterAutospacing="0"/>
        <w:ind w:firstLine="567"/>
        <w:jc w:val="both"/>
      </w:pPr>
      <w:r>
        <w:rPr>
          <w:color w:val="000000"/>
        </w:rPr>
        <w:t>Неповідомлення або несвоєчасне повідомлення про відкриття валютного рахунка в установі банку-нерезидента або про суттєві зміни у майновому стані - тягне за собою накладення штрафу від ста до двохсот неоподатковуваних мінімумів доходів громадян.</w:t>
      </w:r>
    </w:p>
    <w:p w:rsidR="00CE46BE" w:rsidRDefault="00CE46BE" w:rsidP="00CE46BE">
      <w:pPr>
        <w:pStyle w:val="a3"/>
        <w:spacing w:before="0" w:beforeAutospacing="0" w:after="0" w:afterAutospacing="0"/>
        <w:ind w:firstLine="567"/>
        <w:jc w:val="both"/>
      </w:pPr>
      <w:r>
        <w:t> </w:t>
      </w:r>
    </w:p>
    <w:p w:rsidR="00CE46BE" w:rsidRDefault="00CE46BE" w:rsidP="00CE46BE">
      <w:pPr>
        <w:pStyle w:val="a3"/>
        <w:spacing w:before="0" w:beforeAutospacing="0" w:after="0" w:afterAutospacing="0"/>
        <w:ind w:firstLine="567"/>
        <w:jc w:val="both"/>
      </w:pPr>
      <w:r>
        <w:rPr>
          <w:color w:val="000000"/>
        </w:rPr>
        <w:t>Дії, передбачені частиною першою або другою цієї статті, вчинені особою, яку протягом року було піддано адміністративному стягненню за такі ж порушення, - 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CE46BE" w:rsidRDefault="00CE46BE" w:rsidP="00CE46BE">
      <w:pPr>
        <w:pStyle w:val="a3"/>
        <w:spacing w:before="0" w:beforeAutospacing="0" w:after="0" w:afterAutospacing="0"/>
        <w:ind w:firstLine="567"/>
        <w:jc w:val="both"/>
      </w:pPr>
      <w:r>
        <w:t> </w:t>
      </w:r>
    </w:p>
    <w:p w:rsidR="00CE46BE" w:rsidRPr="00CA1F27" w:rsidRDefault="00CE46BE" w:rsidP="00CA1F27">
      <w:pPr>
        <w:pStyle w:val="a3"/>
        <w:spacing w:before="0" w:beforeAutospacing="0" w:after="0" w:afterAutospacing="0"/>
        <w:ind w:firstLine="567"/>
        <w:jc w:val="both"/>
      </w:pPr>
      <w:r>
        <w:rPr>
          <w:color w:val="000000"/>
        </w:rPr>
        <w:t>Подання завідомо недостовірних відомостей у декларації особи, уповноваженої на виконання функцій держави або місцевого самоврядування, - тягне за собою накладення штрафу від однієї тисячі до двох тисяч п’ятисот неоподатковуваних мінімумів доходів громадян.</w:t>
      </w:r>
    </w:p>
    <w:p w:rsidR="00CE46BE" w:rsidRDefault="00CE46BE" w:rsidP="00CE46BE">
      <w:pPr>
        <w:pStyle w:val="a3"/>
        <w:spacing w:before="0" w:beforeAutospacing="0" w:after="0" w:afterAutospacing="0"/>
        <w:ind w:firstLine="567"/>
        <w:jc w:val="both"/>
      </w:pPr>
      <w:r>
        <w:rPr>
          <w:b/>
          <w:bCs/>
          <w:color w:val="000000"/>
        </w:rPr>
        <w:t>Примітка.</w:t>
      </w:r>
      <w:r>
        <w:rPr>
          <w:color w:val="000000"/>
        </w:rPr>
        <w:t xml:space="preserve"> Суб’єктами правопорушень у цій статті (крім правопорушень, визначених частинами другою та третьою цієї статті, у частині неповідомлення або несвоєчасного повідомлення про суттєві зміни у майновому стані)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CE46BE" w:rsidRDefault="00CE46BE" w:rsidP="00CE46BE">
      <w:pPr>
        <w:pStyle w:val="a3"/>
        <w:spacing w:before="0" w:beforeAutospacing="0" w:after="0" w:afterAutospacing="0"/>
        <w:ind w:firstLine="567"/>
        <w:jc w:val="both"/>
      </w:pPr>
      <w:r>
        <w:rPr>
          <w:color w:val="000000"/>
        </w:rPr>
        <w:t>Суб’єктами правопорушень, визначених частинами другою та третьою цієї статті, у частині неповідомлення або несвоєчасного повідомлення про суттєві зміни у майновому стані є суб’єкти декларування, які є службовими особами, які займають відповідальне та особливо відповідальне становище,  а також суб’єкти декларування, які займають посади, пов’язані з високим рівнем корупційних ризиків, відповідно до статті 51-3 Закону України "Про запобігання корупції".</w:t>
      </w:r>
    </w:p>
    <w:p w:rsidR="00CE46BE" w:rsidRDefault="00CE46BE" w:rsidP="00CE46BE">
      <w:pPr>
        <w:pStyle w:val="a3"/>
        <w:spacing w:before="0" w:beforeAutospacing="0" w:after="0" w:afterAutospacing="0"/>
        <w:ind w:firstLine="567"/>
        <w:jc w:val="both"/>
        <w:rPr>
          <w:color w:val="000000"/>
        </w:rPr>
      </w:pPr>
      <w:r>
        <w:rPr>
          <w:color w:val="000000"/>
        </w:rPr>
        <w:t>Відповідальність за цією статтею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100 до 500 прожиткових мінімумів для працездатних осіб.</w:t>
      </w:r>
    </w:p>
    <w:p w:rsidR="00A5306A" w:rsidRDefault="00A5306A" w:rsidP="00CE46BE">
      <w:pPr>
        <w:pStyle w:val="a3"/>
        <w:spacing w:before="0" w:beforeAutospacing="0" w:after="0" w:afterAutospacing="0"/>
        <w:ind w:firstLine="567"/>
        <w:jc w:val="both"/>
      </w:pPr>
      <w:bookmarkStart w:id="0" w:name="_GoBack"/>
      <w:bookmarkEnd w:id="0"/>
    </w:p>
    <w:p w:rsidR="00CE46BE" w:rsidRDefault="00CE46BE" w:rsidP="00CE46BE">
      <w:pPr>
        <w:pStyle w:val="a3"/>
        <w:spacing w:before="0" w:beforeAutospacing="0" w:after="160" w:afterAutospacing="0"/>
        <w:ind w:firstLine="567"/>
        <w:jc w:val="both"/>
      </w:pPr>
      <w:r>
        <w:t> </w:t>
      </w:r>
    </w:p>
    <w:p w:rsidR="00CA1F27" w:rsidRPr="00695BC2" w:rsidRDefault="00CA1F27" w:rsidP="00CE46BE">
      <w:pPr>
        <w:pStyle w:val="a3"/>
        <w:spacing w:before="0" w:beforeAutospacing="0" w:after="0" w:afterAutospacing="0"/>
        <w:ind w:firstLine="567"/>
        <w:jc w:val="both"/>
        <w:rPr>
          <w:b/>
          <w:bCs/>
          <w:color w:val="000000"/>
        </w:rPr>
      </w:pPr>
    </w:p>
    <w:p w:rsidR="00CE46BE" w:rsidRDefault="00CE46BE" w:rsidP="00CE46BE">
      <w:pPr>
        <w:pStyle w:val="a3"/>
        <w:spacing w:before="0" w:beforeAutospacing="0" w:after="0" w:afterAutospacing="0"/>
        <w:ind w:firstLine="567"/>
        <w:jc w:val="both"/>
      </w:pPr>
      <w:r>
        <w:rPr>
          <w:b/>
          <w:bCs/>
          <w:color w:val="000000"/>
        </w:rPr>
        <w:lastRenderedPageBreak/>
        <w:t>Кримінальний кодекс України</w:t>
      </w:r>
    </w:p>
    <w:p w:rsidR="00CE46BE" w:rsidRDefault="00CE46BE" w:rsidP="00CE46BE">
      <w:pPr>
        <w:pStyle w:val="a3"/>
        <w:spacing w:before="0" w:beforeAutospacing="0" w:after="0" w:afterAutospacing="0"/>
        <w:ind w:firstLine="567"/>
        <w:jc w:val="both"/>
      </w:pPr>
      <w:r>
        <w:t> </w:t>
      </w:r>
    </w:p>
    <w:p w:rsidR="00CE46BE" w:rsidRDefault="00CE46BE" w:rsidP="00CE46BE">
      <w:pPr>
        <w:pStyle w:val="a3"/>
        <w:spacing w:before="0" w:beforeAutospacing="0" w:after="0" w:afterAutospacing="0"/>
        <w:ind w:firstLine="567"/>
        <w:jc w:val="both"/>
      </w:pPr>
      <w:r>
        <w:rPr>
          <w:b/>
          <w:bCs/>
          <w:color w:val="000000"/>
        </w:rPr>
        <w:t>Стаття 366-2. Декларування недостовірної інформації</w:t>
      </w:r>
    </w:p>
    <w:p w:rsidR="00CE46BE" w:rsidRDefault="00CE46BE" w:rsidP="00CE46BE">
      <w:pPr>
        <w:pStyle w:val="a3"/>
        <w:spacing w:before="0" w:beforeAutospacing="0" w:after="0" w:afterAutospacing="0"/>
        <w:ind w:firstLine="567"/>
        <w:jc w:val="both"/>
      </w:pPr>
      <w:r>
        <w:rPr>
          <w:color w:val="000000"/>
        </w:rPr>
        <w:t>1.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Законом України «Про запобігання корупції», якщо такі відомості відрізняються від достовірних на суму від 500 до 2000 прожиткових мінімумів для працездатних осіб, - карається штрафом від трьох тисяч до чотирьох тисяч неоподатковуваних мінімумів доходів громадян або громадськими роботами на строк від ста п’ятдесяти до двохсот сорока годин або обмеженням волі на строк до двох років, з позбавленням права обіймати певні посади чи займатися певною діяльністю на строк до трьох років.</w:t>
      </w:r>
    </w:p>
    <w:p w:rsidR="00CE46BE" w:rsidRDefault="00CE46BE" w:rsidP="00CE46BE">
      <w:pPr>
        <w:pStyle w:val="a3"/>
        <w:spacing w:before="0" w:beforeAutospacing="0" w:after="0" w:afterAutospacing="0"/>
        <w:ind w:firstLine="567"/>
        <w:jc w:val="both"/>
      </w:pPr>
      <w:r>
        <w:rPr>
          <w:color w:val="000000"/>
        </w:rPr>
        <w:t>2.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Законом України "Про запобігання корупції", якщо такі відомості відрізняються від достовірних на суму понад 2000 прожиткових мінімумів для працездатних осіб, - карається штрафом від чотирьох тисяч до п’яти тисяч неоподатковуваних мінімумів доходів громадян або громадськими роботами на строк від ста п’ятдесяти до двохсот сорока годин, або обмеженням волі на строк до двох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CE46BE" w:rsidRDefault="00CE46BE" w:rsidP="00CE46BE">
      <w:pPr>
        <w:pStyle w:val="a3"/>
        <w:spacing w:before="0" w:beforeAutospacing="0" w:after="0" w:afterAutospacing="0"/>
        <w:ind w:firstLine="567"/>
        <w:jc w:val="both"/>
      </w:pPr>
      <w:r>
        <w:t> </w:t>
      </w:r>
    </w:p>
    <w:p w:rsidR="00CE46BE" w:rsidRDefault="00CE46BE" w:rsidP="00CE46BE">
      <w:pPr>
        <w:pStyle w:val="a3"/>
        <w:spacing w:before="0" w:beforeAutospacing="0" w:after="0" w:afterAutospacing="0"/>
        <w:ind w:firstLine="567"/>
        <w:jc w:val="both"/>
      </w:pPr>
      <w:r>
        <w:rPr>
          <w:b/>
          <w:bCs/>
          <w:color w:val="000000"/>
        </w:rPr>
        <w:t>Примітка.</w:t>
      </w:r>
      <w:r>
        <w:rPr>
          <w:color w:val="000000"/>
        </w:rPr>
        <w:t xml:space="preserve"> Суб’єктами декларування у цій статті та статті 366-3 цього Кодексу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CE46BE" w:rsidRDefault="00CE46BE" w:rsidP="00CE46BE">
      <w:pPr>
        <w:pStyle w:val="a3"/>
        <w:spacing w:before="0" w:beforeAutospacing="0" w:after="0" w:afterAutospacing="0"/>
        <w:ind w:firstLine="567"/>
        <w:jc w:val="both"/>
      </w:pPr>
      <w:r>
        <w:t> </w:t>
      </w:r>
    </w:p>
    <w:p w:rsidR="00CE46BE" w:rsidRDefault="00CE46BE" w:rsidP="00CE46BE">
      <w:pPr>
        <w:pStyle w:val="a3"/>
        <w:spacing w:before="0" w:beforeAutospacing="0" w:after="0" w:afterAutospacing="0"/>
        <w:ind w:firstLine="567"/>
        <w:jc w:val="both"/>
      </w:pPr>
      <w:r>
        <w:rPr>
          <w:b/>
          <w:bCs/>
          <w:color w:val="000000"/>
        </w:rPr>
        <w:t>Стаття 366-3. Неподання суб’єктом декларування декларації особи, уповноваженої на виконання функцій держави або місцевого самоврядування</w:t>
      </w:r>
    </w:p>
    <w:p w:rsidR="00CE46BE" w:rsidRDefault="00CE46BE" w:rsidP="00CE46BE">
      <w:pPr>
        <w:pStyle w:val="a3"/>
        <w:spacing w:before="0" w:beforeAutospacing="0" w:after="0" w:afterAutospacing="0"/>
        <w:ind w:firstLine="567"/>
        <w:jc w:val="both"/>
      </w:pPr>
      <w:r>
        <w:rPr>
          <w:color w:val="000000"/>
        </w:rPr>
        <w:t>Умисне неподання суб’єктом декларування декларації особи, уповноваженої на виконання функцій держави або місцевого самоврядування, передбаченої Законом України «Про запобігання корупції», - карається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або обмеженням волі на строк до двох років, або позбавленням волі строком на один рік, з позбавленням права обіймати певні посади чи займатися певною діяльністю на строк до трьох років.</w:t>
      </w:r>
    </w:p>
    <w:p w:rsidR="00CE46BE" w:rsidRDefault="00CE46BE" w:rsidP="00CE46BE">
      <w:pPr>
        <w:pStyle w:val="a3"/>
        <w:spacing w:before="0" w:beforeAutospacing="0" w:after="0" w:afterAutospacing="0"/>
      </w:pPr>
      <w:r>
        <w:t> </w:t>
      </w:r>
    </w:p>
    <w:p w:rsidR="00CE46BE" w:rsidRDefault="00CE46BE" w:rsidP="00CE46BE">
      <w:pPr>
        <w:pStyle w:val="a3"/>
        <w:spacing w:before="0" w:beforeAutospacing="0" w:after="0" w:afterAutospacing="0"/>
      </w:pPr>
      <w:r>
        <w:t> </w:t>
      </w:r>
    </w:p>
    <w:p w:rsidR="006E1E5B" w:rsidRDefault="006E1E5B"/>
    <w:sectPr w:rsidR="006E1E5B" w:rsidSect="009207C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7585"/>
    <w:multiLevelType w:val="hybridMultilevel"/>
    <w:tmpl w:val="8CB2287E"/>
    <w:lvl w:ilvl="0" w:tplc="8A1CBF8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0695A5C"/>
    <w:multiLevelType w:val="hybridMultilevel"/>
    <w:tmpl w:val="8B3E49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5953"/>
    <w:rsid w:val="003B2ED8"/>
    <w:rsid w:val="003D5953"/>
    <w:rsid w:val="004F3445"/>
    <w:rsid w:val="00695BC2"/>
    <w:rsid w:val="006E1E5B"/>
    <w:rsid w:val="009207C3"/>
    <w:rsid w:val="00A5306A"/>
    <w:rsid w:val="00CA1F27"/>
    <w:rsid w:val="00CE46BE"/>
    <w:rsid w:val="00EA4E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51822,baiaagaaboqcaaadxmuaaaxsxqaaaaaaaaaaaaaaaaaaaaaaaaaaaaaaaaaaaaaaaaaaaaaaaaaaaaaaaaaaaaaaaaaaaaaaaaaaaaaaaaaaaaaaaaaaaaaaaaaaaaaaaaaaaaaaaaaaaaaaaaaaaaaaaaaaaaaaaaaaaaaaaaaaaaaaaaaaaaaaaaaaaaaaaaaaaaaaaaaaaaaaaaaaaaaaaaaaaaaaaaaaaaa"/>
    <w:basedOn w:val="a"/>
    <w:rsid w:val="00CE46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CE46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E46BE"/>
    <w:rPr>
      <w:color w:val="0000FF"/>
      <w:u w:val="single"/>
    </w:rPr>
  </w:style>
</w:styles>
</file>

<file path=word/webSettings.xml><?xml version="1.0" encoding="utf-8"?>
<w:webSettings xmlns:r="http://schemas.openxmlformats.org/officeDocument/2006/relationships" xmlns:w="http://schemas.openxmlformats.org/wordprocessingml/2006/main">
  <w:divs>
    <w:div w:id="71069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87-21" TargetMode="External"/><Relationship Id="rId13" Type="http://schemas.openxmlformats.org/officeDocument/2006/relationships/hyperlink" Target="https://zakon.rada.gov.ua/laws/show/1700-18" TargetMode="External"/><Relationship Id="rId3" Type="http://schemas.openxmlformats.org/officeDocument/2006/relationships/settings" Target="settings.xm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5" Type="http://schemas.openxmlformats.org/officeDocument/2006/relationships/hyperlink" Target="https://zakon.rada.gov.ua/laws/show/1700-18" TargetMode="External"/><Relationship Id="rId15" Type="http://schemas.openxmlformats.org/officeDocument/2006/relationships/fontTable" Target="fontTable.xml"/><Relationship Id="rId10"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z0987-21" TargetMode="External"/><Relationship Id="rId14"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6254</Words>
  <Characters>3565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Купцова</dc:creator>
  <cp:keywords/>
  <dc:description/>
  <cp:lastModifiedBy>1</cp:lastModifiedBy>
  <cp:revision>10</cp:revision>
  <cp:lastPrinted>2023-05-17T07:28:00Z</cp:lastPrinted>
  <dcterms:created xsi:type="dcterms:W3CDTF">2023-02-17T10:14:00Z</dcterms:created>
  <dcterms:modified xsi:type="dcterms:W3CDTF">2023-05-26T12:08:00Z</dcterms:modified>
</cp:coreProperties>
</file>